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F902" w14:textId="77777777" w:rsidR="00EC000B" w:rsidRPr="00EC000B" w:rsidRDefault="00EC000B" w:rsidP="00EC000B">
      <w:pPr>
        <w:pStyle w:val="Heading2"/>
        <w:keepNext w:val="0"/>
        <w:keepLines w:val="0"/>
        <w:spacing w:after="80"/>
        <w:rPr>
          <w:rFonts w:asciiTheme="minorHAnsi" w:hAnsiTheme="minorHAnsi" w:cstheme="minorHAnsi"/>
          <w:b/>
          <w:color w:val="000000"/>
          <w:sz w:val="24"/>
          <w:szCs w:val="24"/>
        </w:rPr>
      </w:pPr>
      <w:bookmarkStart w:id="0" w:name="_il6kd39wv09h" w:colFirst="0" w:colLast="0"/>
      <w:bookmarkEnd w:id="0"/>
      <w:r w:rsidRPr="00EC000B">
        <w:rPr>
          <w:rFonts w:asciiTheme="minorHAnsi" w:hAnsiTheme="minorHAnsi" w:cstheme="minorHAnsi"/>
          <w:b/>
          <w:sz w:val="24"/>
          <w:szCs w:val="24"/>
        </w:rPr>
        <w:t>Reading - The Pedagogy: Chris Such</w:t>
      </w:r>
    </w:p>
    <w:p w14:paraId="1240AEE6" w14:textId="77777777" w:rsidR="00EC000B" w:rsidRPr="00EC000B" w:rsidRDefault="00EC000B" w:rsidP="00EC000B">
      <w:pPr>
        <w:spacing w:before="240" w:after="240"/>
        <w:rPr>
          <w:rFonts w:cstheme="minorHAnsi"/>
        </w:rPr>
      </w:pPr>
      <w:r w:rsidRPr="00EC000B">
        <w:rPr>
          <w:rFonts w:cstheme="minorHAnsi"/>
        </w:rPr>
        <w:t>This podcast reinforces themes in the</w:t>
      </w:r>
      <w:hyperlink r:id="rId7">
        <w:r w:rsidRPr="00EC000B">
          <w:rPr>
            <w:rFonts w:cstheme="minorHAnsi"/>
            <w:color w:val="1155CC"/>
            <w:u w:val="single"/>
          </w:rPr>
          <w:t xml:space="preserve"> Education Secretary’s speech at the CST Conference (October 2025)</w:t>
        </w:r>
      </w:hyperlink>
      <w:r w:rsidRPr="00EC000B">
        <w:rPr>
          <w:rFonts w:cstheme="minorHAnsi"/>
        </w:rPr>
        <w:t xml:space="preserve">, which emphasised literacy, inclusion, and evidence-informed teaching as core drivers of curriculum quality. It follows two other videos based on Chris Such’s book </w:t>
      </w:r>
      <w:hyperlink r:id="rId8">
        <w:r w:rsidRPr="00EC000B">
          <w:rPr>
            <w:rFonts w:cstheme="minorHAnsi"/>
            <w:i/>
            <w:color w:val="1155CC"/>
            <w:u w:val="single"/>
          </w:rPr>
          <w:t>Primary Reading Simplified</w:t>
        </w:r>
      </w:hyperlink>
      <w:r w:rsidRPr="00EC000B">
        <w:rPr>
          <w:rFonts w:cstheme="minorHAnsi"/>
        </w:rPr>
        <w:t xml:space="preserve"> (‘</w:t>
      </w:r>
      <w:hyperlink r:id="rId9">
        <w:r w:rsidRPr="00EC000B">
          <w:rPr>
            <w:rFonts w:cstheme="minorHAnsi"/>
            <w:color w:val="1155CC"/>
            <w:u w:val="single"/>
          </w:rPr>
          <w:t>Primary reading simplified</w:t>
        </w:r>
      </w:hyperlink>
      <w:r w:rsidRPr="00EC000B">
        <w:rPr>
          <w:rFonts w:cstheme="minorHAnsi"/>
        </w:rPr>
        <w:t>’ and ‘</w:t>
      </w:r>
      <w:hyperlink r:id="rId10">
        <w:r w:rsidRPr="00EC000B">
          <w:rPr>
            <w:rFonts w:cstheme="minorHAnsi"/>
            <w:color w:val="1155CC"/>
            <w:u w:val="single"/>
          </w:rPr>
          <w:t>Reading - the process</w:t>
        </w:r>
      </w:hyperlink>
      <w:r w:rsidRPr="00EC000B">
        <w:rPr>
          <w:rFonts w:cstheme="minorHAnsi"/>
        </w:rPr>
        <w:t xml:space="preserve">’), exploring the pedagogical heart of reading - moving beyond mechanical decoding or extract-based comprehension towards reading as a rich, communal, disciplinary act. </w:t>
      </w:r>
    </w:p>
    <w:p w14:paraId="568279FB" w14:textId="77777777" w:rsidR="00EC000B" w:rsidRPr="00EC000B" w:rsidRDefault="00EC000B" w:rsidP="00EC000B">
      <w:pPr>
        <w:spacing w:before="240" w:after="240"/>
        <w:rPr>
          <w:rFonts w:cstheme="minorHAnsi"/>
        </w:rPr>
      </w:pPr>
      <w:r w:rsidRPr="00EC000B">
        <w:rPr>
          <w:rFonts w:cstheme="minorHAnsi"/>
        </w:rPr>
        <w:t>The discussion challenges the dominance of carousel guided reading and extract-led test preparation, proposing instead a coherent model of reading instruction grounded in three interrelated priorities:</w:t>
      </w:r>
    </w:p>
    <w:p w14:paraId="668E7683" w14:textId="77777777" w:rsidR="00EC000B" w:rsidRPr="00EC000B" w:rsidRDefault="00EC000B" w:rsidP="00EC000B">
      <w:pPr>
        <w:numPr>
          <w:ilvl w:val="0"/>
          <w:numId w:val="3"/>
        </w:numPr>
        <w:spacing w:before="240" w:line="276" w:lineRule="auto"/>
        <w:rPr>
          <w:rFonts w:cstheme="minorHAnsi"/>
        </w:rPr>
      </w:pPr>
      <w:r w:rsidRPr="00EC000B">
        <w:rPr>
          <w:rFonts w:cstheme="minorHAnsi"/>
        </w:rPr>
        <w:t>Fluency through active, supported decoding practice.</w:t>
      </w:r>
    </w:p>
    <w:p w14:paraId="026561C0" w14:textId="77777777" w:rsidR="00EC000B" w:rsidRPr="00EC000B" w:rsidRDefault="00EC000B" w:rsidP="00EC000B">
      <w:pPr>
        <w:numPr>
          <w:ilvl w:val="0"/>
          <w:numId w:val="3"/>
        </w:numPr>
        <w:spacing w:line="276" w:lineRule="auto"/>
        <w:rPr>
          <w:rFonts w:cstheme="minorHAnsi"/>
        </w:rPr>
      </w:pPr>
      <w:r w:rsidRPr="00EC000B">
        <w:rPr>
          <w:rFonts w:cstheme="minorHAnsi"/>
        </w:rPr>
        <w:t>Breadth through sustained engagement with whole, high-quality texts.</w:t>
      </w:r>
    </w:p>
    <w:p w14:paraId="0663B448" w14:textId="77777777" w:rsidR="00EC000B" w:rsidRPr="00EC000B" w:rsidRDefault="00EC000B" w:rsidP="00EC000B">
      <w:pPr>
        <w:numPr>
          <w:ilvl w:val="0"/>
          <w:numId w:val="3"/>
        </w:numPr>
        <w:spacing w:after="240" w:line="276" w:lineRule="auto"/>
        <w:rPr>
          <w:rFonts w:cstheme="minorHAnsi"/>
        </w:rPr>
      </w:pPr>
      <w:r w:rsidRPr="00EC000B">
        <w:rPr>
          <w:rFonts w:cstheme="minorHAnsi"/>
        </w:rPr>
        <w:t>Depth through discussion of authorial craft, meaning, and reader response.</w:t>
      </w:r>
    </w:p>
    <w:p w14:paraId="3A07E41C" w14:textId="77777777" w:rsidR="00EC000B" w:rsidRPr="00EC000B" w:rsidRDefault="00EC000B" w:rsidP="00EC000B">
      <w:pPr>
        <w:spacing w:before="240" w:after="240"/>
        <w:rPr>
          <w:rFonts w:cstheme="minorHAnsi"/>
        </w:rPr>
      </w:pPr>
      <w:r w:rsidRPr="00EC000B">
        <w:rPr>
          <w:rFonts w:cstheme="minorHAnsi"/>
        </w:rPr>
        <w:t xml:space="preserve">Crucially, this model positions reading as both curricular substance and pedagogical method: pupils learn through books as much as they learn to read them. It invites teachers - particularly in primary settings - to think of reading as the curriculum, and leaders to create conditions for teachers’ professional growth through deep engagement with children’s literature. For secondary colleagues, this perspective matters because the habits, fluency, and attitudes to reading built in primary education form the foundation for disciplinary literacy, critical thinking, and subject engagement throughout a young person’s time in education. Chris also discusses principles of powerful practice that could underpin approaches to reading in secondary schools, and which are crucial for consideration with introduction of a </w:t>
      </w:r>
      <w:hyperlink r:id="rId11">
        <w:r w:rsidRPr="00EC000B">
          <w:rPr>
            <w:rFonts w:cstheme="minorHAnsi"/>
            <w:color w:val="1155CC"/>
            <w:u w:val="single"/>
          </w:rPr>
          <w:t>reading test for Year 8 pupils</w:t>
        </w:r>
      </w:hyperlink>
      <w:r w:rsidRPr="00EC000B">
        <w:rPr>
          <w:rFonts w:cstheme="minorHAnsi"/>
        </w:rPr>
        <w:t>.</w:t>
      </w:r>
    </w:p>
    <w:p w14:paraId="5BC6C83F" w14:textId="77777777" w:rsidR="00EC000B" w:rsidRPr="00EC000B" w:rsidRDefault="00EC000B" w:rsidP="00EC000B">
      <w:pPr>
        <w:rPr>
          <w:rFonts w:cstheme="minorHAnsi"/>
          <w:b/>
        </w:rPr>
      </w:pPr>
      <w:r w:rsidRPr="00EC000B">
        <w:rPr>
          <w:rFonts w:cstheme="minorHAnsi"/>
          <w:b/>
        </w:rPr>
        <w:t>Reflection questions:</w:t>
      </w:r>
    </w:p>
    <w:p w14:paraId="73FD11BE" w14:textId="77777777" w:rsidR="00EC000B" w:rsidRPr="00EC000B" w:rsidRDefault="00EC000B" w:rsidP="00EC000B">
      <w:pPr>
        <w:pStyle w:val="Heading3"/>
        <w:keepNext w:val="0"/>
        <w:keepLines w:val="0"/>
        <w:spacing w:before="280"/>
        <w:rPr>
          <w:rFonts w:asciiTheme="minorHAnsi" w:hAnsiTheme="minorHAnsi" w:cstheme="minorHAnsi"/>
          <w:b/>
          <w:color w:val="000000"/>
          <w:sz w:val="24"/>
          <w:szCs w:val="24"/>
        </w:rPr>
      </w:pPr>
      <w:bookmarkStart w:id="1" w:name="_2igpbva9720f" w:colFirst="0" w:colLast="0"/>
      <w:bookmarkEnd w:id="1"/>
      <w:r w:rsidRPr="00EC000B">
        <w:rPr>
          <w:rFonts w:asciiTheme="minorHAnsi" w:hAnsiTheme="minorHAnsi" w:cstheme="minorHAnsi"/>
          <w:b/>
          <w:color w:val="000000"/>
          <w:sz w:val="24"/>
          <w:szCs w:val="24"/>
        </w:rPr>
        <w:t>For primary practitioners</w:t>
      </w:r>
    </w:p>
    <w:p w14:paraId="4E9EA5B3" w14:textId="77777777" w:rsidR="00EC000B" w:rsidRPr="00EC000B" w:rsidRDefault="00EC000B" w:rsidP="00EC000B">
      <w:pPr>
        <w:spacing w:before="240" w:after="240"/>
        <w:rPr>
          <w:rFonts w:cstheme="minorHAnsi"/>
          <w:b/>
        </w:rPr>
      </w:pPr>
      <w:r w:rsidRPr="00EC000B">
        <w:rPr>
          <w:rFonts w:cstheme="minorHAnsi"/>
          <w:b/>
        </w:rPr>
        <w:t>Whole-class pedagogy</w:t>
      </w:r>
    </w:p>
    <w:p w14:paraId="3747B1A6" w14:textId="77777777" w:rsidR="00EC000B" w:rsidRPr="00EC000B" w:rsidRDefault="00EC000B" w:rsidP="00EC000B">
      <w:pPr>
        <w:numPr>
          <w:ilvl w:val="0"/>
          <w:numId w:val="1"/>
        </w:numPr>
        <w:spacing w:before="240" w:line="276" w:lineRule="auto"/>
        <w:rPr>
          <w:rFonts w:cstheme="minorHAnsi"/>
        </w:rPr>
      </w:pPr>
      <w:r w:rsidRPr="00EC000B">
        <w:rPr>
          <w:rFonts w:cstheme="minorHAnsi"/>
        </w:rPr>
        <w:t>How does the argument against carousel/ability-grouped reading align with your current classroom practice?</w:t>
      </w:r>
    </w:p>
    <w:p w14:paraId="5476FD2D" w14:textId="77777777" w:rsidR="00EC000B" w:rsidRPr="00EC000B" w:rsidRDefault="00EC000B" w:rsidP="00EC000B">
      <w:pPr>
        <w:numPr>
          <w:ilvl w:val="0"/>
          <w:numId w:val="1"/>
        </w:numPr>
        <w:spacing w:line="276" w:lineRule="auto"/>
        <w:rPr>
          <w:rFonts w:cstheme="minorHAnsi"/>
        </w:rPr>
      </w:pPr>
      <w:r w:rsidRPr="00EC000B">
        <w:rPr>
          <w:rFonts w:cstheme="minorHAnsi"/>
        </w:rPr>
        <w:t xml:space="preserve">What would it take to make </w:t>
      </w:r>
      <w:proofErr w:type="gramStart"/>
      <w:r w:rsidRPr="00EC000B">
        <w:rPr>
          <w:rFonts w:cstheme="minorHAnsi"/>
        </w:rPr>
        <w:t>whole-class</w:t>
      </w:r>
      <w:proofErr w:type="gramEnd"/>
      <w:r w:rsidRPr="00EC000B">
        <w:rPr>
          <w:rFonts w:cstheme="minorHAnsi"/>
        </w:rPr>
        <w:t xml:space="preserve"> reading the “default” in your school?</w:t>
      </w:r>
    </w:p>
    <w:p w14:paraId="73DB9950" w14:textId="77777777" w:rsidR="00EC000B" w:rsidRPr="00EC000B" w:rsidRDefault="00EC000B" w:rsidP="00EC000B">
      <w:pPr>
        <w:numPr>
          <w:ilvl w:val="0"/>
          <w:numId w:val="1"/>
        </w:numPr>
        <w:spacing w:line="276" w:lineRule="auto"/>
        <w:rPr>
          <w:rFonts w:cstheme="minorHAnsi"/>
        </w:rPr>
      </w:pPr>
      <w:r w:rsidRPr="00EC000B">
        <w:rPr>
          <w:rFonts w:cstheme="minorHAnsi"/>
        </w:rPr>
        <w:t>Are pupils regularly experiencing whole texts - novels, poems, information books - or mainly extracts?</w:t>
      </w:r>
    </w:p>
    <w:p w14:paraId="4A957677" w14:textId="77777777" w:rsidR="00EC000B" w:rsidRPr="00EC000B" w:rsidRDefault="00EC000B" w:rsidP="00EC000B">
      <w:pPr>
        <w:numPr>
          <w:ilvl w:val="0"/>
          <w:numId w:val="1"/>
        </w:numPr>
        <w:spacing w:line="276" w:lineRule="auto"/>
        <w:rPr>
          <w:rFonts w:cstheme="minorHAnsi"/>
        </w:rPr>
      </w:pPr>
      <w:r w:rsidRPr="00EC000B">
        <w:rPr>
          <w:rFonts w:cstheme="minorHAnsi"/>
        </w:rPr>
        <w:t>How might you sequence reading across the year to balance fluency, breadth, and depth?</w:t>
      </w:r>
    </w:p>
    <w:p w14:paraId="62EE9C5A" w14:textId="77777777" w:rsidR="00EC000B" w:rsidRPr="00EC000B" w:rsidRDefault="00EC000B" w:rsidP="00EC000B">
      <w:pPr>
        <w:numPr>
          <w:ilvl w:val="0"/>
          <w:numId w:val="1"/>
        </w:numPr>
        <w:spacing w:line="276" w:lineRule="auto"/>
        <w:rPr>
          <w:rFonts w:cstheme="minorHAnsi"/>
        </w:rPr>
      </w:pPr>
      <w:r w:rsidRPr="00EC000B">
        <w:rPr>
          <w:rFonts w:cstheme="minorHAnsi"/>
        </w:rPr>
        <w:t>Which of the three lesson structures (fluency, extended, close reading) feels most developed in your practice? Which needs more attention?</w:t>
      </w:r>
    </w:p>
    <w:p w14:paraId="76F122D3" w14:textId="77777777" w:rsidR="00EC000B" w:rsidRPr="00EC000B" w:rsidRDefault="00EC000B" w:rsidP="00EC000B">
      <w:pPr>
        <w:numPr>
          <w:ilvl w:val="0"/>
          <w:numId w:val="1"/>
        </w:numPr>
        <w:spacing w:line="276" w:lineRule="auto"/>
        <w:rPr>
          <w:rFonts w:cstheme="minorHAnsi"/>
        </w:rPr>
      </w:pPr>
      <w:r w:rsidRPr="00EC000B">
        <w:rPr>
          <w:rFonts w:cstheme="minorHAnsi"/>
        </w:rPr>
        <w:t>How can echo reading be used to increase accessibility?</w:t>
      </w:r>
    </w:p>
    <w:p w14:paraId="1BD1FBB4" w14:textId="77777777" w:rsidR="00EC000B" w:rsidRPr="00EC000B" w:rsidRDefault="00EC000B" w:rsidP="00EC000B">
      <w:pPr>
        <w:numPr>
          <w:ilvl w:val="0"/>
          <w:numId w:val="1"/>
        </w:numPr>
        <w:spacing w:line="276" w:lineRule="auto"/>
        <w:rPr>
          <w:rFonts w:cstheme="minorHAnsi"/>
        </w:rPr>
      </w:pPr>
      <w:r w:rsidRPr="00EC000B">
        <w:rPr>
          <w:rFonts w:cstheme="minorHAnsi"/>
        </w:rPr>
        <w:t>How do you currently develop teachers’ knowledge of children’s literature?</w:t>
      </w:r>
    </w:p>
    <w:p w14:paraId="61B1F664" w14:textId="77777777" w:rsidR="00EC000B" w:rsidRPr="00EC000B" w:rsidRDefault="00EC000B" w:rsidP="00EC000B">
      <w:pPr>
        <w:numPr>
          <w:ilvl w:val="0"/>
          <w:numId w:val="1"/>
        </w:numPr>
        <w:spacing w:line="276" w:lineRule="auto"/>
        <w:rPr>
          <w:rFonts w:cstheme="minorHAnsi"/>
        </w:rPr>
      </w:pPr>
      <w:r w:rsidRPr="00EC000B">
        <w:rPr>
          <w:rFonts w:cstheme="minorHAnsi"/>
        </w:rPr>
        <w:lastRenderedPageBreak/>
        <w:t>What could change in staff meeting time or CPD structures to make reading and discussing texts part of professional learning rather than an “extra”?</w:t>
      </w:r>
    </w:p>
    <w:p w14:paraId="0346378B" w14:textId="77777777" w:rsidR="00EC000B" w:rsidRPr="00EC000B" w:rsidRDefault="00EC000B" w:rsidP="00EC000B">
      <w:pPr>
        <w:numPr>
          <w:ilvl w:val="0"/>
          <w:numId w:val="1"/>
        </w:numPr>
        <w:spacing w:line="276" w:lineRule="auto"/>
        <w:rPr>
          <w:rFonts w:cstheme="minorHAnsi"/>
        </w:rPr>
      </w:pPr>
      <w:r w:rsidRPr="00EC000B">
        <w:rPr>
          <w:rFonts w:cstheme="minorHAnsi"/>
        </w:rPr>
        <w:t>How are book choices for classrooms and libraries made?</w:t>
      </w:r>
    </w:p>
    <w:p w14:paraId="37CD8179" w14:textId="77777777" w:rsidR="00EC000B" w:rsidRPr="00EC000B" w:rsidRDefault="00EC000B" w:rsidP="00EC000B">
      <w:pPr>
        <w:numPr>
          <w:ilvl w:val="0"/>
          <w:numId w:val="1"/>
        </w:numPr>
        <w:spacing w:after="240" w:line="276" w:lineRule="auto"/>
        <w:rPr>
          <w:rFonts w:cstheme="minorHAnsi"/>
        </w:rPr>
      </w:pPr>
      <w:r w:rsidRPr="00EC000B">
        <w:rPr>
          <w:rFonts w:cstheme="minorHAnsi"/>
        </w:rPr>
        <w:t>Is there a staff member (or team) acting as the “literature champion” in your school - and if not, who could take on that role?</w:t>
      </w:r>
      <w:r w:rsidRPr="00EC000B">
        <w:rPr>
          <w:rFonts w:cstheme="minorHAnsi"/>
        </w:rPr>
        <w:br/>
      </w:r>
    </w:p>
    <w:p w14:paraId="61ECDEB7" w14:textId="77777777" w:rsidR="00EC000B" w:rsidRPr="00EC000B" w:rsidRDefault="00EC000B" w:rsidP="00EC000B">
      <w:pPr>
        <w:rPr>
          <w:rFonts w:cstheme="minorHAnsi"/>
          <w:b/>
        </w:rPr>
      </w:pPr>
      <w:r w:rsidRPr="00EC000B">
        <w:rPr>
          <w:rFonts w:cstheme="minorHAnsi"/>
          <w:b/>
          <w:color w:val="000000"/>
        </w:rPr>
        <w:t xml:space="preserve">For </w:t>
      </w:r>
      <w:r w:rsidRPr="00EC000B">
        <w:rPr>
          <w:rFonts w:cstheme="minorHAnsi"/>
          <w:b/>
        </w:rPr>
        <w:t>s</w:t>
      </w:r>
      <w:r w:rsidRPr="00EC000B">
        <w:rPr>
          <w:rFonts w:cstheme="minorHAnsi"/>
          <w:b/>
          <w:color w:val="000000"/>
        </w:rPr>
        <w:t xml:space="preserve">econdary </w:t>
      </w:r>
      <w:r w:rsidRPr="00EC000B">
        <w:rPr>
          <w:rFonts w:cstheme="minorHAnsi"/>
          <w:b/>
        </w:rPr>
        <w:t>practitioners</w:t>
      </w:r>
    </w:p>
    <w:p w14:paraId="57290891" w14:textId="77777777" w:rsidR="00EC000B" w:rsidRPr="00EC000B" w:rsidRDefault="00EC000B" w:rsidP="00EC000B">
      <w:pPr>
        <w:numPr>
          <w:ilvl w:val="0"/>
          <w:numId w:val="2"/>
        </w:numPr>
        <w:spacing w:before="240" w:line="276" w:lineRule="auto"/>
        <w:rPr>
          <w:rFonts w:cstheme="minorHAnsi"/>
        </w:rPr>
      </w:pPr>
      <w:r w:rsidRPr="00EC000B">
        <w:rPr>
          <w:rFonts w:cstheme="minorHAnsi"/>
        </w:rPr>
        <w:t>How might an emphasis on fluency, breadth and depth be applicable at secondary level?</w:t>
      </w:r>
    </w:p>
    <w:p w14:paraId="5C3A86B4" w14:textId="77777777" w:rsidR="00EC000B" w:rsidRPr="00EC000B" w:rsidRDefault="00EC000B" w:rsidP="00EC000B">
      <w:pPr>
        <w:numPr>
          <w:ilvl w:val="0"/>
          <w:numId w:val="2"/>
        </w:numPr>
        <w:spacing w:line="276" w:lineRule="auto"/>
        <w:rPr>
          <w:rFonts w:cstheme="minorHAnsi"/>
        </w:rPr>
      </w:pPr>
      <w:r w:rsidRPr="00EC000B">
        <w:rPr>
          <w:rFonts w:cstheme="minorHAnsi"/>
        </w:rPr>
        <w:t>To what extent lessons build stamina for reading extended texts versus analysing short extracts?</w:t>
      </w:r>
    </w:p>
    <w:p w14:paraId="4C4E9409" w14:textId="77777777" w:rsidR="00EC000B" w:rsidRPr="00EC000B" w:rsidRDefault="00EC000B" w:rsidP="00EC000B">
      <w:pPr>
        <w:numPr>
          <w:ilvl w:val="0"/>
          <w:numId w:val="2"/>
        </w:numPr>
        <w:spacing w:line="276" w:lineRule="auto"/>
        <w:rPr>
          <w:rFonts w:cstheme="minorHAnsi"/>
        </w:rPr>
      </w:pPr>
      <w:r w:rsidRPr="00EC000B">
        <w:rPr>
          <w:rFonts w:cstheme="minorHAnsi"/>
        </w:rPr>
        <w:t>Does reading feature as an aspect of multiple curricula (or tutor time) or is it restricted to English lessons?</w:t>
      </w:r>
      <w:r w:rsidRPr="00EC000B">
        <w:rPr>
          <w:rFonts w:cstheme="minorHAnsi"/>
          <w:i/>
        </w:rPr>
        <w:t xml:space="preserve"> </w:t>
      </w:r>
    </w:p>
    <w:p w14:paraId="7D9205A4" w14:textId="77777777" w:rsidR="00EC000B" w:rsidRPr="00EC000B" w:rsidRDefault="00EC000B" w:rsidP="00EC000B">
      <w:pPr>
        <w:numPr>
          <w:ilvl w:val="0"/>
          <w:numId w:val="2"/>
        </w:numPr>
        <w:spacing w:line="276" w:lineRule="auto"/>
        <w:rPr>
          <w:rFonts w:cstheme="minorHAnsi"/>
        </w:rPr>
      </w:pPr>
      <w:r w:rsidRPr="00EC000B">
        <w:rPr>
          <w:rFonts w:cstheme="minorHAnsi"/>
        </w:rPr>
        <w:t>If reading is a core part of your subject, how are pupils supported to read challenging texts?</w:t>
      </w:r>
    </w:p>
    <w:p w14:paraId="65EF65C1" w14:textId="77777777" w:rsidR="00EC000B" w:rsidRPr="00EC000B" w:rsidRDefault="00EC000B" w:rsidP="00EC000B">
      <w:pPr>
        <w:numPr>
          <w:ilvl w:val="0"/>
          <w:numId w:val="2"/>
        </w:numPr>
        <w:spacing w:line="276" w:lineRule="auto"/>
        <w:rPr>
          <w:rFonts w:cstheme="minorHAnsi"/>
        </w:rPr>
      </w:pPr>
      <w:r w:rsidRPr="00EC000B">
        <w:rPr>
          <w:rFonts w:cstheme="minorHAnsi"/>
        </w:rPr>
        <w:t>Could reading circles, staff book clubs, or joint planning around class novels help deepen collective expertise?</w:t>
      </w:r>
    </w:p>
    <w:p w14:paraId="2C1F7CA6" w14:textId="77777777" w:rsidR="00EC000B" w:rsidRPr="00EC000B" w:rsidRDefault="00EC000B" w:rsidP="00EC000B">
      <w:pPr>
        <w:numPr>
          <w:ilvl w:val="0"/>
          <w:numId w:val="2"/>
        </w:numPr>
        <w:spacing w:line="276" w:lineRule="auto"/>
        <w:rPr>
          <w:rFonts w:cstheme="minorHAnsi"/>
        </w:rPr>
      </w:pPr>
      <w:r w:rsidRPr="00EC000B">
        <w:rPr>
          <w:rFonts w:cstheme="minorHAnsi"/>
        </w:rPr>
        <w:t>What role could whole-class oral reading, echo reading, or re-reading play with pupils at secondary level?</w:t>
      </w:r>
    </w:p>
    <w:p w14:paraId="4EFDB67C" w14:textId="77777777" w:rsidR="00EC000B" w:rsidRPr="00EC000B" w:rsidRDefault="00EC000B" w:rsidP="00EC000B">
      <w:pPr>
        <w:numPr>
          <w:ilvl w:val="0"/>
          <w:numId w:val="2"/>
        </w:numPr>
        <w:spacing w:after="240" w:line="276" w:lineRule="auto"/>
        <w:rPr>
          <w:rFonts w:cstheme="minorHAnsi"/>
        </w:rPr>
      </w:pPr>
      <w:r w:rsidRPr="00EC000B">
        <w:rPr>
          <w:rFonts w:cstheme="minorHAnsi"/>
        </w:rPr>
        <w:t>Could the principles in the podcast (whole texts, discussion, fluency support) inform how reading happens in your subject?</w:t>
      </w:r>
    </w:p>
    <w:p w14:paraId="764E8624" w14:textId="77777777" w:rsidR="00EC000B" w:rsidRPr="00EC000B" w:rsidRDefault="00EC000B" w:rsidP="00EC000B">
      <w:pPr>
        <w:rPr>
          <w:rFonts w:cstheme="minorHAnsi"/>
        </w:rPr>
      </w:pPr>
    </w:p>
    <w:p w14:paraId="0687DF34" w14:textId="5F247AB2" w:rsidR="00270457" w:rsidRPr="00EC000B" w:rsidRDefault="00270457">
      <w:pPr>
        <w:rPr>
          <w:rFonts w:cstheme="minorHAnsi"/>
        </w:rPr>
      </w:pPr>
    </w:p>
    <w:p w14:paraId="61678093" w14:textId="77777777" w:rsidR="00977204" w:rsidRPr="00EC000B" w:rsidRDefault="00977204">
      <w:pPr>
        <w:rPr>
          <w:rFonts w:cstheme="minorHAnsi"/>
        </w:rPr>
      </w:pPr>
    </w:p>
    <w:p w14:paraId="1583D609" w14:textId="7DB6C2CD" w:rsidR="00227CA8" w:rsidRPr="00EC000B" w:rsidRDefault="00227CA8">
      <w:pPr>
        <w:rPr>
          <w:rFonts w:cstheme="minorHAnsi"/>
        </w:rPr>
      </w:pPr>
    </w:p>
    <w:p w14:paraId="675C20C4" w14:textId="5461E76D" w:rsidR="00227CA8" w:rsidRPr="00EC000B" w:rsidRDefault="00227CA8">
      <w:pPr>
        <w:rPr>
          <w:rFonts w:cstheme="minorHAnsi"/>
        </w:rPr>
      </w:pPr>
    </w:p>
    <w:p w14:paraId="4AF833D6" w14:textId="2EE98085" w:rsidR="00227CA8" w:rsidRPr="00EC000B" w:rsidRDefault="00227CA8">
      <w:pPr>
        <w:rPr>
          <w:rFonts w:cstheme="minorHAnsi"/>
        </w:rPr>
      </w:pPr>
    </w:p>
    <w:p w14:paraId="4EF437BF" w14:textId="0A0B7487" w:rsidR="00227CA8" w:rsidRPr="00EC000B" w:rsidRDefault="00227CA8">
      <w:pPr>
        <w:rPr>
          <w:rFonts w:cstheme="minorHAnsi"/>
        </w:rPr>
      </w:pPr>
    </w:p>
    <w:p w14:paraId="74822639" w14:textId="400147FA" w:rsidR="00227CA8" w:rsidRPr="00EC000B" w:rsidRDefault="00227CA8">
      <w:pPr>
        <w:rPr>
          <w:rFonts w:cstheme="minorHAnsi"/>
        </w:rPr>
      </w:pPr>
    </w:p>
    <w:p w14:paraId="0C33119F" w14:textId="77777777" w:rsidR="00227CA8" w:rsidRPr="00EC000B" w:rsidRDefault="00227CA8">
      <w:pPr>
        <w:rPr>
          <w:rFonts w:cstheme="minorHAnsi"/>
        </w:rPr>
      </w:pPr>
    </w:p>
    <w:p w14:paraId="1AAD6851" w14:textId="77777777" w:rsidR="00D702B2" w:rsidRPr="00EC000B" w:rsidRDefault="00D702B2" w:rsidP="00D702B2">
      <w:pPr>
        <w:rPr>
          <w:rFonts w:cstheme="minorHAnsi"/>
        </w:rPr>
      </w:pPr>
    </w:p>
    <w:p w14:paraId="375A2261" w14:textId="77777777" w:rsidR="00D702B2" w:rsidRPr="00EC000B" w:rsidRDefault="00D702B2" w:rsidP="00D702B2">
      <w:pPr>
        <w:rPr>
          <w:rFonts w:cstheme="minorHAnsi"/>
        </w:rPr>
      </w:pPr>
    </w:p>
    <w:p w14:paraId="6068DE68" w14:textId="77777777" w:rsidR="00D702B2" w:rsidRPr="00EC000B" w:rsidRDefault="00D702B2" w:rsidP="00D702B2">
      <w:pPr>
        <w:rPr>
          <w:rFonts w:cstheme="minorHAnsi"/>
        </w:rPr>
      </w:pPr>
    </w:p>
    <w:p w14:paraId="6ECD33CF" w14:textId="77777777" w:rsidR="00D702B2" w:rsidRPr="00EC000B" w:rsidRDefault="00D702B2" w:rsidP="00D702B2">
      <w:pPr>
        <w:rPr>
          <w:rFonts w:cstheme="minorHAnsi"/>
        </w:rPr>
      </w:pPr>
    </w:p>
    <w:p w14:paraId="0AD8FCFC" w14:textId="77777777" w:rsidR="00D702B2" w:rsidRPr="00EC000B" w:rsidRDefault="00D702B2" w:rsidP="00D702B2">
      <w:pPr>
        <w:rPr>
          <w:rFonts w:cstheme="minorHAnsi"/>
        </w:rPr>
      </w:pPr>
    </w:p>
    <w:p w14:paraId="3223C9A0" w14:textId="77777777" w:rsidR="00D702B2" w:rsidRPr="00EC000B" w:rsidRDefault="00D702B2" w:rsidP="00D702B2">
      <w:pPr>
        <w:rPr>
          <w:rFonts w:cstheme="minorHAnsi"/>
        </w:rPr>
      </w:pPr>
    </w:p>
    <w:p w14:paraId="2AED20BF" w14:textId="660E0B36" w:rsidR="00D702B2" w:rsidRPr="00EC000B" w:rsidRDefault="00D702B2" w:rsidP="00D702B2">
      <w:pPr>
        <w:tabs>
          <w:tab w:val="left" w:pos="3583"/>
        </w:tabs>
        <w:rPr>
          <w:rFonts w:cstheme="minorHAnsi"/>
        </w:rPr>
      </w:pPr>
      <w:r w:rsidRPr="00EC000B">
        <w:rPr>
          <w:rFonts w:cstheme="minorHAnsi"/>
        </w:rPr>
        <w:tab/>
      </w:r>
    </w:p>
    <w:sectPr w:rsidR="00D702B2" w:rsidRPr="00EC000B" w:rsidSect="00714A32">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6CDB" w14:textId="77777777" w:rsidR="00BA5999" w:rsidRDefault="00BA5999" w:rsidP="00227CA8">
      <w:r>
        <w:separator/>
      </w:r>
    </w:p>
  </w:endnote>
  <w:endnote w:type="continuationSeparator" w:id="0">
    <w:p w14:paraId="658AB825" w14:textId="77777777" w:rsidR="00BA5999" w:rsidRDefault="00BA5999" w:rsidP="0022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BB51" w14:textId="77777777" w:rsidR="00D702B2" w:rsidRDefault="00D70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22F6" w14:textId="77777777" w:rsidR="00D702B2" w:rsidRDefault="00D70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63EA" w14:textId="77777777" w:rsidR="00D702B2" w:rsidRDefault="00D70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336A" w14:textId="77777777" w:rsidR="00BA5999" w:rsidRDefault="00BA5999" w:rsidP="00227CA8">
      <w:r>
        <w:separator/>
      </w:r>
    </w:p>
  </w:footnote>
  <w:footnote w:type="continuationSeparator" w:id="0">
    <w:p w14:paraId="0C71C250" w14:textId="77777777" w:rsidR="00BA5999" w:rsidRDefault="00BA5999" w:rsidP="00227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E095" w14:textId="0C35877D" w:rsidR="00227CA8" w:rsidRDefault="00227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1E54" w14:textId="7C9B7C94" w:rsidR="00227CA8" w:rsidRDefault="00227CA8" w:rsidP="00227CA8">
    <w:pPr>
      <w:pStyle w:val="Header"/>
      <w:jc w:val="center"/>
    </w:pPr>
    <w:r>
      <w:rPr>
        <w:noProof/>
      </w:rPr>
      <w:drawing>
        <wp:inline distT="0" distB="0" distL="0" distR="0" wp14:anchorId="3B3CBE2F" wp14:editId="1DE19A14">
          <wp:extent cx="1681200" cy="5220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81200" cy="52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30C4" w14:textId="719C1744" w:rsidR="00227CA8" w:rsidRDefault="00227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2C14"/>
    <w:multiLevelType w:val="multilevel"/>
    <w:tmpl w:val="69B022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52301E6"/>
    <w:multiLevelType w:val="multilevel"/>
    <w:tmpl w:val="F9420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42407F3"/>
    <w:multiLevelType w:val="multilevel"/>
    <w:tmpl w:val="5934B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3946120">
    <w:abstractNumId w:val="2"/>
  </w:num>
  <w:num w:numId="2" w16cid:durableId="1371614837">
    <w:abstractNumId w:val="1"/>
  </w:num>
  <w:num w:numId="3" w16cid:durableId="175270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A8"/>
    <w:rsid w:val="0000097B"/>
    <w:rsid w:val="0006443D"/>
    <w:rsid w:val="00127B2E"/>
    <w:rsid w:val="00141E59"/>
    <w:rsid w:val="001C37C6"/>
    <w:rsid w:val="00227CA8"/>
    <w:rsid w:val="0023436B"/>
    <w:rsid w:val="00270457"/>
    <w:rsid w:val="00585926"/>
    <w:rsid w:val="00592BFE"/>
    <w:rsid w:val="006829A8"/>
    <w:rsid w:val="00714A32"/>
    <w:rsid w:val="00767E51"/>
    <w:rsid w:val="007E58A6"/>
    <w:rsid w:val="00977204"/>
    <w:rsid w:val="0099769E"/>
    <w:rsid w:val="00A04D57"/>
    <w:rsid w:val="00B85E2C"/>
    <w:rsid w:val="00BA5999"/>
    <w:rsid w:val="00BF0BE5"/>
    <w:rsid w:val="00D520AB"/>
    <w:rsid w:val="00D702B2"/>
    <w:rsid w:val="00D80C95"/>
    <w:rsid w:val="00E232FE"/>
    <w:rsid w:val="00EC000B"/>
    <w:rsid w:val="00FD4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4D033"/>
  <w15:chartTrackingRefBased/>
  <w15:docId w15:val="{11B69FC9-410E-EF49-BCCB-59E3069D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C000B"/>
    <w:pPr>
      <w:keepNext/>
      <w:keepLines/>
      <w:spacing w:before="360" w:after="120" w:line="276" w:lineRule="auto"/>
      <w:outlineLvl w:val="1"/>
    </w:pPr>
    <w:rPr>
      <w:rFonts w:ascii="Arial" w:eastAsia="Arial" w:hAnsi="Arial" w:cs="Arial"/>
      <w:sz w:val="32"/>
      <w:szCs w:val="32"/>
      <w:lang w:val="en" w:eastAsia="en-GB"/>
    </w:rPr>
  </w:style>
  <w:style w:type="paragraph" w:styleId="Heading3">
    <w:name w:val="heading 3"/>
    <w:basedOn w:val="Normal"/>
    <w:next w:val="Normal"/>
    <w:link w:val="Heading3Char"/>
    <w:uiPriority w:val="9"/>
    <w:unhideWhenUsed/>
    <w:qFormat/>
    <w:rsid w:val="00EC000B"/>
    <w:pPr>
      <w:keepNext/>
      <w:keepLines/>
      <w:spacing w:before="320" w:after="80" w:line="276" w:lineRule="auto"/>
      <w:outlineLvl w:val="2"/>
    </w:pPr>
    <w:rPr>
      <w:rFonts w:ascii="Arial" w:eastAsia="Arial" w:hAnsi="Arial" w:cs="Arial"/>
      <w:color w:val="434343"/>
      <w:sz w:val="28"/>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CA8"/>
    <w:pPr>
      <w:tabs>
        <w:tab w:val="center" w:pos="4680"/>
        <w:tab w:val="right" w:pos="9360"/>
      </w:tabs>
    </w:pPr>
  </w:style>
  <w:style w:type="character" w:customStyle="1" w:styleId="HeaderChar">
    <w:name w:val="Header Char"/>
    <w:basedOn w:val="DefaultParagraphFont"/>
    <w:link w:val="Header"/>
    <w:uiPriority w:val="99"/>
    <w:rsid w:val="00227CA8"/>
  </w:style>
  <w:style w:type="paragraph" w:styleId="Footer">
    <w:name w:val="footer"/>
    <w:basedOn w:val="Normal"/>
    <w:link w:val="FooterChar"/>
    <w:uiPriority w:val="99"/>
    <w:unhideWhenUsed/>
    <w:rsid w:val="00227CA8"/>
    <w:pPr>
      <w:tabs>
        <w:tab w:val="center" w:pos="4680"/>
        <w:tab w:val="right" w:pos="9360"/>
      </w:tabs>
    </w:pPr>
  </w:style>
  <w:style w:type="character" w:customStyle="1" w:styleId="FooterChar">
    <w:name w:val="Footer Char"/>
    <w:basedOn w:val="DefaultParagraphFont"/>
    <w:link w:val="Footer"/>
    <w:uiPriority w:val="99"/>
    <w:rsid w:val="00227CA8"/>
  </w:style>
  <w:style w:type="character" w:customStyle="1" w:styleId="Heading2Char">
    <w:name w:val="Heading 2 Char"/>
    <w:basedOn w:val="DefaultParagraphFont"/>
    <w:link w:val="Heading2"/>
    <w:uiPriority w:val="9"/>
    <w:rsid w:val="00EC000B"/>
    <w:rPr>
      <w:rFonts w:ascii="Arial" w:eastAsia="Arial" w:hAnsi="Arial" w:cs="Arial"/>
      <w:sz w:val="32"/>
      <w:szCs w:val="32"/>
      <w:lang w:val="en" w:eastAsia="en-GB"/>
    </w:rPr>
  </w:style>
  <w:style w:type="character" w:customStyle="1" w:styleId="Heading3Char">
    <w:name w:val="Heading 3 Char"/>
    <w:basedOn w:val="DefaultParagraphFont"/>
    <w:link w:val="Heading3"/>
    <w:uiPriority w:val="9"/>
    <w:rsid w:val="00EC000B"/>
    <w:rPr>
      <w:rFonts w:ascii="Arial" w:eastAsia="Arial" w:hAnsi="Arial" w:cs="Arial"/>
      <w:color w:val="434343"/>
      <w:sz w:val="28"/>
      <w:szCs w:val="28"/>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Primary-Reading-Simplified-Whole-School-Implementation/dp/1036201414?&amp;linkCode=sl1&amp;tag=myattandco-21&amp;linkId=eaff4570fd8e7633c56815ae251e782f&amp;language=en_GB&amp;ref_=as_li_ss_t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speeches/education-secretary-speech-at-cst-conference?es_c=7106B51F75CC5A18BE772E89FB53ABD3&amp;es_cl=292B7DAE913D082F9AABBE16A7603F18&amp;es_id=ph7%c2%a3o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news/focus-on-reading-in-secondary-years-to-drive-up-standard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films.myattandco.com/programs/collection-primary-reading-simplified?cid=4026134&amp;permalink=reading-the-proc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ilms.myattandco.com/programs/collection-primary-reading-simplifie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Myatt</dc:creator>
  <cp:keywords/>
  <dc:description/>
  <cp:lastModifiedBy>Fran Myatt</cp:lastModifiedBy>
  <cp:revision>2</cp:revision>
  <dcterms:created xsi:type="dcterms:W3CDTF">2025-10-22T18:38:00Z</dcterms:created>
  <dcterms:modified xsi:type="dcterms:W3CDTF">2025-10-22T18:38:00Z</dcterms:modified>
</cp:coreProperties>
</file>